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0BDA" w14:textId="381D2D41" w:rsidR="00146528" w:rsidRPr="00146528" w:rsidRDefault="00146528" w:rsidP="008406C3">
      <w:pPr>
        <w:shd w:val="clear" w:color="auto" w:fill="FFFFFF"/>
        <w:spacing w:after="450" w:line="240" w:lineRule="auto"/>
        <w:jc w:val="center"/>
        <w:outlineLvl w:val="0"/>
        <w:rPr>
          <w:rFonts w:ascii="Candara" w:eastAsia="Times New Roman" w:hAnsi="Candara" w:cs="Calibri"/>
          <w:b/>
          <w:bCs/>
          <w:color w:val="000000"/>
          <w:kern w:val="36"/>
          <w:sz w:val="24"/>
          <w:szCs w:val="24"/>
          <w:u w:val="single"/>
          <w:lang w:val="en-US"/>
        </w:rPr>
      </w:pPr>
      <w:r w:rsidRPr="00146528">
        <w:rPr>
          <w:rFonts w:ascii="Candara" w:eastAsia="Times New Roman" w:hAnsi="Candara" w:cs="Calibri"/>
          <w:b/>
          <w:bCs/>
          <w:color w:val="000000"/>
          <w:kern w:val="36"/>
          <w:sz w:val="24"/>
          <w:szCs w:val="24"/>
          <w:u w:val="single"/>
          <w:lang w:val="en-US"/>
        </w:rPr>
        <w:t>BIOGRAFIA DEL CURSO</w:t>
      </w:r>
    </w:p>
    <w:p w14:paraId="76FD5036" w14:textId="099B90B1" w:rsidR="00CC00A3" w:rsidRPr="00ED2AA6" w:rsidRDefault="00CC00A3" w:rsidP="00ED2AA6">
      <w:pPr>
        <w:pStyle w:val="Prrafodelista"/>
        <w:numPr>
          <w:ilvl w:val="0"/>
          <w:numId w:val="2"/>
        </w:numPr>
        <w:shd w:val="clear" w:color="auto" w:fill="FFFFFF"/>
        <w:spacing w:after="450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  <w:lang w:val="en-US"/>
        </w:rPr>
      </w:pPr>
      <w:hyperlink r:id="rId7" w:history="1">
        <w:r w:rsidRPr="00CC00A3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  <w:lang w:val="en-US"/>
          </w:rPr>
          <w:t>Addressing the climate change and p</w:t>
        </w:r>
        <w:r w:rsidRPr="00CC00A3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  <w:lang w:val="en-US"/>
          </w:rPr>
          <w:t>o</w:t>
        </w:r>
        <w:r w:rsidRPr="00CC00A3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  <w:lang w:val="en-US"/>
          </w:rPr>
          <w:t xml:space="preserve">verty </w:t>
        </w:r>
        <w:r w:rsidRPr="00CC00A3">
          <w:rPr>
            <w:rStyle w:val="Hipervnculo"/>
            <w:rFonts w:ascii="Candara" w:eastAsia="Times New Roman" w:hAnsi="Candara" w:cs="Calibri"/>
            <w:kern w:val="36"/>
            <w:sz w:val="21"/>
            <w:szCs w:val="21"/>
            <w:lang w:val="en-US"/>
          </w:rPr>
          <w:t>Nexus</w:t>
        </w:r>
      </w:hyperlink>
    </w:p>
    <w:p w14:paraId="06D60157" w14:textId="39588E32" w:rsidR="00CC00A3" w:rsidRPr="00ED2AA6" w:rsidRDefault="00CC00A3" w:rsidP="00ED2AA6">
      <w:pPr>
        <w:pStyle w:val="Prrafodelista"/>
        <w:numPr>
          <w:ilvl w:val="0"/>
          <w:numId w:val="2"/>
        </w:numPr>
        <w:shd w:val="clear" w:color="auto" w:fill="FEFEFE"/>
        <w:spacing w:after="100" w:afterAutospacing="1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  <w:lang w:val="en-US"/>
        </w:rPr>
      </w:pPr>
      <w:hyperlink r:id="rId8" w:history="1">
        <w:r w:rsidRPr="00CC00A3">
          <w:rPr>
            <w:rStyle w:val="Hipervnculo"/>
            <w:rFonts w:ascii="Candara" w:eastAsia="Times New Roman" w:hAnsi="Candara" w:cs="Calibri"/>
            <w:b/>
            <w:bCs/>
            <w:spacing w:val="4"/>
            <w:kern w:val="36"/>
            <w:sz w:val="21"/>
            <w:szCs w:val="21"/>
            <w:lang w:val="en-US"/>
          </w:rPr>
          <w:t>Beyond profit: how SDG Impact helps</w:t>
        </w:r>
        <w:r w:rsidRPr="00CC00A3">
          <w:rPr>
            <w:rStyle w:val="Hipervnculo"/>
            <w:rFonts w:ascii="Candara" w:eastAsia="Times New Roman" w:hAnsi="Candara" w:cs="Calibri"/>
            <w:b/>
            <w:bCs/>
            <w:spacing w:val="4"/>
            <w:kern w:val="36"/>
            <w:sz w:val="21"/>
            <w:szCs w:val="21"/>
            <w:lang w:val="en-US"/>
          </w:rPr>
          <w:t xml:space="preserve"> </w:t>
        </w:r>
        <w:r w:rsidRPr="00CC00A3">
          <w:rPr>
            <w:rStyle w:val="Hipervnculo"/>
            <w:rFonts w:ascii="Candara" w:eastAsia="Times New Roman" w:hAnsi="Candara" w:cs="Calibri"/>
            <w:b/>
            <w:bCs/>
            <w:spacing w:val="4"/>
            <w:kern w:val="36"/>
            <w:sz w:val="21"/>
            <w:szCs w:val="21"/>
            <w:lang w:val="en-US"/>
          </w:rPr>
          <w:t>the private sector</w:t>
        </w:r>
      </w:hyperlink>
      <w:r w:rsidRPr="00CC00A3">
        <w:rPr>
          <w:rFonts w:ascii="Candara" w:eastAsia="Times New Roman" w:hAnsi="Candara" w:cs="Calibri"/>
          <w:kern w:val="36"/>
          <w:sz w:val="21"/>
          <w:szCs w:val="21"/>
          <w:lang w:val="en-US"/>
        </w:rPr>
        <w:t xml:space="preserve"> </w:t>
      </w:r>
    </w:p>
    <w:p w14:paraId="1746871C" w14:textId="6F7FD204" w:rsidR="00CC00A3" w:rsidRPr="00CC00A3" w:rsidRDefault="00CC00A3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9" w:history="1"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Cuestionario de Evaluación de Estad</w:t>
        </w:r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o</w:t>
        </w:r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 xml:space="preserve"> General ESG para Inversores en Deuda Privada</w:t>
        </w:r>
      </w:hyperlink>
    </w:p>
    <w:p w14:paraId="541251A5" w14:textId="02B9AD56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r w:rsidRPr="00CC00A3">
        <w:rPr>
          <w:rFonts w:ascii="Candara" w:hAnsi="Candara" w:cs="Arial"/>
          <w:sz w:val="21"/>
          <w:szCs w:val="21"/>
        </w:rPr>
        <w:t>Principios de Inversión Responsable</w:t>
      </w:r>
    </w:p>
    <w:p w14:paraId="6CD7D9A6" w14:textId="0D8F8ACA" w:rsidR="00CC00A3" w:rsidRPr="00CC00A3" w:rsidRDefault="00CC00A3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10" w:history="1"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 xml:space="preserve">Estado del </w:t>
        </w:r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M</w:t>
        </w:r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ercado de Bonos</w:t>
        </w:r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 xml:space="preserve"> </w:t>
        </w:r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Verdes</w:t>
        </w:r>
      </w:hyperlink>
    </w:p>
    <w:p w14:paraId="04C03417" w14:textId="189E787A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proofErr w:type="spellStart"/>
      <w:r w:rsidRPr="00CC00A3">
        <w:rPr>
          <w:rFonts w:ascii="Candara" w:hAnsi="Candara" w:cs="Arial"/>
          <w:sz w:val="21"/>
          <w:szCs w:val="21"/>
        </w:rPr>
        <w:t>Climate</w:t>
      </w:r>
      <w:proofErr w:type="spellEnd"/>
      <w:r w:rsidRPr="00CC00A3">
        <w:rPr>
          <w:rFonts w:ascii="Candara" w:hAnsi="Candara" w:cs="Arial"/>
          <w:sz w:val="21"/>
          <w:szCs w:val="21"/>
        </w:rPr>
        <w:t xml:space="preserve"> Bonds </w:t>
      </w:r>
      <w:proofErr w:type="spellStart"/>
      <w:r w:rsidRPr="00CC00A3">
        <w:rPr>
          <w:rFonts w:ascii="Candara" w:hAnsi="Candara" w:cs="Arial"/>
          <w:sz w:val="21"/>
          <w:szCs w:val="21"/>
        </w:rPr>
        <w:t>Initiative</w:t>
      </w:r>
      <w:proofErr w:type="spellEnd"/>
      <w:r w:rsidRPr="00CC00A3">
        <w:rPr>
          <w:rFonts w:ascii="Candara" w:hAnsi="Candara" w:cs="Arial"/>
          <w:sz w:val="21"/>
          <w:szCs w:val="21"/>
        </w:rPr>
        <w:t>, 2020</w:t>
      </w:r>
    </w:p>
    <w:p w14:paraId="13879078" w14:textId="5BADBE82" w:rsidR="00CC00A3" w:rsidRPr="00CC00A3" w:rsidRDefault="00CC00A3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11" w:history="1"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Estado del Mercado de Finanz</w:t>
        </w:r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a</w:t>
        </w:r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s Verdes en América Latina</w:t>
        </w:r>
      </w:hyperlink>
    </w:p>
    <w:p w14:paraId="40066262" w14:textId="728CE618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  <w:lang w:val="en-US"/>
        </w:rPr>
      </w:pPr>
      <w:r w:rsidRPr="00CC00A3">
        <w:rPr>
          <w:rFonts w:ascii="Candara" w:hAnsi="Candara" w:cs="Arial"/>
          <w:sz w:val="21"/>
          <w:szCs w:val="21"/>
          <w:lang w:val="en-US"/>
        </w:rPr>
        <w:t>Climate Bonds Initiative, 2020</w:t>
      </w:r>
    </w:p>
    <w:p w14:paraId="432AD189" w14:textId="3EC5F53A" w:rsidR="00CC00A3" w:rsidRPr="00CC00A3" w:rsidRDefault="00CC00A3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12" w:history="1"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Financiando la Construcción Sustentable en México</w:t>
        </w:r>
      </w:hyperlink>
    </w:p>
    <w:p w14:paraId="22EB8212" w14:textId="35325938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  <w:lang w:val="en-US"/>
        </w:rPr>
      </w:pPr>
      <w:r w:rsidRPr="00CC00A3">
        <w:rPr>
          <w:rFonts w:ascii="Candara" w:hAnsi="Candara" w:cs="Arial"/>
          <w:sz w:val="21"/>
          <w:szCs w:val="21"/>
          <w:lang w:val="en-US"/>
        </w:rPr>
        <w:t xml:space="preserve">Climate Bonds Initiative, 2020 </w:t>
      </w:r>
    </w:p>
    <w:p w14:paraId="04052497" w14:textId="44B901A1" w:rsidR="00CC00A3" w:rsidRPr="00ED2AA6" w:rsidRDefault="00CC00A3" w:rsidP="00ED2AA6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rPr>
          <w:rFonts w:ascii="Candara" w:eastAsia="Times New Roman" w:hAnsi="Candara" w:cs="Arial"/>
          <w:sz w:val="21"/>
          <w:szCs w:val="21"/>
          <w:lang w:val="en-US"/>
        </w:rPr>
      </w:pPr>
      <w:hyperlink r:id="rId13" w:history="1">
        <w:r w:rsidRPr="00CC00A3">
          <w:rPr>
            <w:rStyle w:val="Hipervnculo"/>
            <w:rFonts w:ascii="Candara" w:eastAsia="Times New Roman" w:hAnsi="Candara" w:cs="Arial"/>
            <w:b/>
            <w:bCs/>
            <w:sz w:val="21"/>
            <w:szCs w:val="21"/>
            <w:lang w:val="en-US"/>
          </w:rPr>
          <w:t>Five ways that ESG creates value: </w:t>
        </w:r>
      </w:hyperlink>
      <w:r w:rsidRPr="00CC00A3">
        <w:rPr>
          <w:rFonts w:ascii="Candara" w:eastAsia="Times New Roman" w:hAnsi="Candara" w:cs="Arial"/>
          <w:sz w:val="21"/>
          <w:szCs w:val="21"/>
          <w:lang w:val="en-US"/>
        </w:rPr>
        <w:t xml:space="preserve"> </w:t>
      </w:r>
    </w:p>
    <w:p w14:paraId="47F1B424" w14:textId="21734129" w:rsidR="00CC00A3" w:rsidRPr="00CC00A3" w:rsidRDefault="00CC00A3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14" w:history="1"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 xml:space="preserve">Guía de Bonos Verdes, Sociales y Sustentables en el Panel de </w:t>
        </w:r>
        <w:proofErr w:type="spellStart"/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ByMA</w:t>
        </w:r>
        <w:proofErr w:type="spellEnd"/>
      </w:hyperlink>
    </w:p>
    <w:p w14:paraId="04E1D81B" w14:textId="3B950B51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r w:rsidRPr="00CC00A3">
        <w:rPr>
          <w:rFonts w:ascii="Candara" w:hAnsi="Candara" w:cs="Arial"/>
          <w:sz w:val="21"/>
          <w:szCs w:val="21"/>
        </w:rPr>
        <w:t>Bolsa y Mercados Argentinos</w:t>
      </w:r>
    </w:p>
    <w:p w14:paraId="3AA251FE" w14:textId="6D75C136" w:rsidR="00CC00A3" w:rsidRPr="00CC00A3" w:rsidRDefault="00CC00A3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15" w:history="1"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Guía Práctica para la Integración ESG en deuda soberana</w:t>
        </w:r>
      </w:hyperlink>
    </w:p>
    <w:p w14:paraId="27E9EAD4" w14:textId="14DDEA8D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r w:rsidRPr="00CC00A3">
        <w:rPr>
          <w:rFonts w:ascii="Candara" w:hAnsi="Candara" w:cs="Arial"/>
          <w:sz w:val="21"/>
          <w:szCs w:val="21"/>
        </w:rPr>
        <w:t>Principios de Inversión Responsable</w:t>
      </w:r>
    </w:p>
    <w:p w14:paraId="71F1A1F8" w14:textId="587A21B4" w:rsidR="00CC00A3" w:rsidRPr="00CC00A3" w:rsidRDefault="00CC00A3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16" w:history="1"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Introducción a la Inversión Responsable en Capital Privado</w:t>
        </w:r>
      </w:hyperlink>
    </w:p>
    <w:p w14:paraId="36BAD4D2" w14:textId="0B1E4A7D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r w:rsidRPr="00CC00A3">
        <w:rPr>
          <w:rFonts w:ascii="Candara" w:hAnsi="Candara" w:cs="Arial"/>
          <w:sz w:val="21"/>
          <w:szCs w:val="21"/>
        </w:rPr>
        <w:t>Principios de Inversión Responsable</w:t>
      </w:r>
    </w:p>
    <w:p w14:paraId="1F3BDC4E" w14:textId="76FA0A86" w:rsidR="00CC00A3" w:rsidRPr="00ED2AA6" w:rsidRDefault="00CC00A3" w:rsidP="00ED2AA6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</w:rPr>
      </w:pPr>
      <w:hyperlink r:id="rId17" w:history="1">
        <w:r w:rsidRPr="00CC00A3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</w:rPr>
          <w:t>La economía del cambio climático en la Argentina: Primera aproximación</w:t>
        </w:r>
      </w:hyperlink>
    </w:p>
    <w:p w14:paraId="40DB6299" w14:textId="0E44AFF2" w:rsidR="00CC00A3" w:rsidRPr="00CC00A3" w:rsidRDefault="00CC00A3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18" w:history="1"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Nota Técnica sobre el Impuesto al Carbono en Argentina</w:t>
        </w:r>
      </w:hyperlink>
    </w:p>
    <w:p w14:paraId="6DD22879" w14:textId="3DD8467B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r w:rsidRPr="00CC00A3">
        <w:rPr>
          <w:rFonts w:ascii="Candara" w:hAnsi="Candara" w:cs="Arial"/>
          <w:sz w:val="21"/>
          <w:szCs w:val="21"/>
        </w:rPr>
        <w:t>Genesis y MÉXICO2, 2021</w:t>
      </w:r>
    </w:p>
    <w:p w14:paraId="4B5716E7" w14:textId="495FF9CC" w:rsidR="00CC00A3" w:rsidRPr="00ED2AA6" w:rsidRDefault="00CC00A3" w:rsidP="00ED2AA6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</w:rPr>
      </w:pPr>
      <w:hyperlink r:id="rId19" w:history="1">
        <w:r w:rsidRPr="00CC00A3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</w:rPr>
          <w:t>Principios de Banca Responsable:</w:t>
        </w:r>
        <w:r w:rsidRPr="00CC00A3">
          <w:rPr>
            <w:rStyle w:val="Hipervnculo"/>
            <w:rFonts w:ascii="Candara" w:eastAsia="Times New Roman" w:hAnsi="Candara" w:cs="Calibri"/>
            <w:kern w:val="36"/>
            <w:sz w:val="21"/>
            <w:szCs w:val="21"/>
          </w:rPr>
          <w:t> </w:t>
        </w:r>
      </w:hyperlink>
      <w:r w:rsidRPr="00CC00A3">
        <w:rPr>
          <w:rFonts w:ascii="Candara" w:eastAsia="Times New Roman" w:hAnsi="Candara" w:cs="Calibri"/>
          <w:kern w:val="36"/>
          <w:sz w:val="21"/>
          <w:szCs w:val="21"/>
        </w:rPr>
        <w:t xml:space="preserve"> </w:t>
      </w:r>
    </w:p>
    <w:p w14:paraId="16F44F02" w14:textId="5DE4BB21" w:rsidR="00CC00A3" w:rsidRPr="00CC00A3" w:rsidRDefault="00CC00A3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20" w:history="1">
        <w:proofErr w:type="spellStart"/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The</w:t>
        </w:r>
        <w:proofErr w:type="spellEnd"/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 xml:space="preserve"> Green </w:t>
        </w:r>
        <w:proofErr w:type="spellStart"/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Swan</w:t>
        </w:r>
        <w:proofErr w:type="spellEnd"/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 xml:space="preserve"> / El Cisne Verde</w:t>
        </w:r>
      </w:hyperlink>
    </w:p>
    <w:p w14:paraId="6573B0D8" w14:textId="0D8EB025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r w:rsidRPr="00CC00A3">
        <w:rPr>
          <w:rFonts w:ascii="Candara" w:hAnsi="Candara" w:cs="Arial"/>
          <w:sz w:val="21"/>
          <w:szCs w:val="21"/>
        </w:rPr>
        <w:t xml:space="preserve">Bank </w:t>
      </w:r>
      <w:proofErr w:type="spellStart"/>
      <w:r w:rsidRPr="00CC00A3">
        <w:rPr>
          <w:rFonts w:ascii="Candara" w:hAnsi="Candara" w:cs="Arial"/>
          <w:sz w:val="21"/>
          <w:szCs w:val="21"/>
        </w:rPr>
        <w:t>of</w:t>
      </w:r>
      <w:proofErr w:type="spellEnd"/>
      <w:r w:rsidRPr="00CC00A3">
        <w:rPr>
          <w:rFonts w:ascii="Candara" w:hAnsi="Candara" w:cs="Arial"/>
          <w:sz w:val="21"/>
          <w:szCs w:val="21"/>
        </w:rPr>
        <w:t xml:space="preserve"> International </w:t>
      </w:r>
      <w:proofErr w:type="spellStart"/>
      <w:r w:rsidRPr="00CC00A3">
        <w:rPr>
          <w:rFonts w:ascii="Candara" w:hAnsi="Candara" w:cs="Arial"/>
          <w:sz w:val="21"/>
          <w:szCs w:val="21"/>
        </w:rPr>
        <w:t>Settlements</w:t>
      </w:r>
      <w:proofErr w:type="spellEnd"/>
      <w:r w:rsidRPr="00CC00A3">
        <w:rPr>
          <w:rFonts w:ascii="Candara" w:hAnsi="Candara" w:cs="Arial"/>
          <w:sz w:val="21"/>
          <w:szCs w:val="21"/>
        </w:rPr>
        <w:t xml:space="preserve"> / Banco Internacional de Pagos, 2019</w:t>
      </w:r>
    </w:p>
    <w:p w14:paraId="53D40E37" w14:textId="47E76858" w:rsidR="00CC00A3" w:rsidRPr="00CC00A3" w:rsidRDefault="00CC00A3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21" w:history="1"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 xml:space="preserve">Perfil de Argentina en </w:t>
        </w:r>
        <w:proofErr w:type="spellStart"/>
        <w:r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Climatescope</w:t>
        </w:r>
        <w:proofErr w:type="spellEnd"/>
      </w:hyperlink>
    </w:p>
    <w:p w14:paraId="1250483A" w14:textId="24D87A25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r w:rsidRPr="00CC00A3">
        <w:rPr>
          <w:rFonts w:ascii="Candara" w:hAnsi="Candara" w:cs="Arial"/>
          <w:sz w:val="21"/>
          <w:szCs w:val="21"/>
        </w:rPr>
        <w:t xml:space="preserve">Bloomberg – New Energy </w:t>
      </w:r>
      <w:proofErr w:type="spellStart"/>
      <w:r w:rsidRPr="00CC00A3">
        <w:rPr>
          <w:rFonts w:ascii="Candara" w:hAnsi="Candara" w:cs="Arial"/>
          <w:sz w:val="21"/>
          <w:szCs w:val="21"/>
        </w:rPr>
        <w:t>Finance</w:t>
      </w:r>
      <w:proofErr w:type="spellEnd"/>
    </w:p>
    <w:p w14:paraId="31214420" w14:textId="01A65921" w:rsidR="00ED2AA6" w:rsidRPr="00ED2AA6" w:rsidRDefault="00ED2AA6" w:rsidP="00ED2AA6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</w:rPr>
      </w:pPr>
      <w:hyperlink r:id="rId22" w:history="1">
        <w:r w:rsidR="00CC00A3" w:rsidRPr="00ED2AA6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</w:rPr>
          <w:t xml:space="preserve">Principios de Bonos </w:t>
        </w:r>
        <w:r w:rsidR="00CC00A3" w:rsidRPr="00ED2AA6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</w:rPr>
          <w:t>V</w:t>
        </w:r>
        <w:r w:rsidR="00CC00A3" w:rsidRPr="00ED2AA6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</w:rPr>
          <w:t>erdes</w:t>
        </w:r>
      </w:hyperlink>
    </w:p>
    <w:p w14:paraId="38BBC166" w14:textId="42E156EE" w:rsidR="00CC00A3" w:rsidRPr="00ED2AA6" w:rsidRDefault="00ED2AA6" w:rsidP="00ED2AA6">
      <w:pPr>
        <w:pStyle w:val="Prrafodelista"/>
        <w:numPr>
          <w:ilvl w:val="0"/>
          <w:numId w:val="2"/>
        </w:numPr>
        <w:shd w:val="clear" w:color="auto" w:fill="FFFFFF"/>
        <w:spacing w:after="450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  <w:lang w:val="en-US"/>
        </w:rPr>
      </w:pPr>
      <w:hyperlink r:id="rId23" w:history="1">
        <w:r w:rsidR="00CC00A3" w:rsidRPr="00ED2AA6">
          <w:rPr>
            <w:rStyle w:val="Hipervnculo"/>
            <w:rFonts w:ascii="Candara" w:eastAsia="Times New Roman" w:hAnsi="Candara" w:cs="Calibri"/>
            <w:b/>
            <w:bCs/>
            <w:spacing w:val="15"/>
            <w:kern w:val="36"/>
            <w:sz w:val="21"/>
            <w:szCs w:val="21"/>
            <w:lang w:val="en-US"/>
          </w:rPr>
          <w:t>The evolution of sustainable finance</w:t>
        </w:r>
      </w:hyperlink>
      <w:r w:rsidRPr="00CC00A3">
        <w:rPr>
          <w:rFonts w:ascii="Candara" w:eastAsia="Times New Roman" w:hAnsi="Candara" w:cs="Calibri"/>
          <w:kern w:val="36"/>
          <w:sz w:val="21"/>
          <w:szCs w:val="21"/>
          <w:lang w:val="en-US"/>
        </w:rPr>
        <w:t xml:space="preserve"> </w:t>
      </w:r>
    </w:p>
    <w:p w14:paraId="37258688" w14:textId="5DB2277B" w:rsidR="00CC00A3" w:rsidRPr="00ED2AA6" w:rsidRDefault="00ED2AA6" w:rsidP="00ED2AA6">
      <w:pPr>
        <w:pStyle w:val="Prrafodelista"/>
        <w:numPr>
          <w:ilvl w:val="0"/>
          <w:numId w:val="2"/>
        </w:numPr>
        <w:shd w:val="clear" w:color="auto" w:fill="FFFFFF"/>
        <w:spacing w:after="300" w:line="360" w:lineRule="auto"/>
        <w:textAlignment w:val="baseline"/>
        <w:outlineLvl w:val="0"/>
        <w:rPr>
          <w:rFonts w:ascii="Candara" w:eastAsia="Times New Roman" w:hAnsi="Candara" w:cs="Calibri"/>
          <w:b/>
          <w:bCs/>
          <w:kern w:val="36"/>
          <w:sz w:val="21"/>
          <w:szCs w:val="21"/>
          <w:lang w:val="en-US"/>
        </w:rPr>
      </w:pPr>
      <w:hyperlink r:id="rId24" w:history="1">
        <w:r w:rsidR="00CC00A3" w:rsidRPr="00ED2AA6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  <w:lang w:val="en-US"/>
          </w:rPr>
          <w:t>Transforming our world: the 2030 Agen</w:t>
        </w:r>
        <w:r w:rsidR="00CC00A3" w:rsidRPr="00ED2AA6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  <w:lang w:val="en-US"/>
          </w:rPr>
          <w:t>d</w:t>
        </w:r>
        <w:r w:rsidR="00CC00A3" w:rsidRPr="00ED2AA6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  <w:lang w:val="en-US"/>
          </w:rPr>
          <w:t>a for Sustainable Development</w:t>
        </w:r>
      </w:hyperlink>
      <w:r w:rsidRPr="00ED2AA6">
        <w:rPr>
          <w:rFonts w:ascii="Candara" w:eastAsia="Times New Roman" w:hAnsi="Candara" w:cs="Calibri"/>
          <w:b/>
          <w:bCs/>
          <w:kern w:val="36"/>
          <w:sz w:val="21"/>
          <w:szCs w:val="21"/>
          <w:lang w:val="en-US"/>
        </w:rPr>
        <w:t xml:space="preserve"> </w:t>
      </w:r>
    </w:p>
    <w:p w14:paraId="085D8903" w14:textId="64AA2958" w:rsidR="00146528" w:rsidRPr="00CC00A3" w:rsidRDefault="00146528" w:rsidP="00ED2AA6">
      <w:pPr>
        <w:shd w:val="clear" w:color="auto" w:fill="FFFFFF"/>
        <w:spacing w:after="100" w:afterAutospacing="1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  <w:lang w:val="en-US"/>
        </w:rPr>
      </w:pPr>
    </w:p>
    <w:p w14:paraId="075DDDDC" w14:textId="77777777" w:rsidR="00146528" w:rsidRPr="00CC00A3" w:rsidRDefault="00146528" w:rsidP="00ED2AA6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  <w:lang w:val="en-US"/>
        </w:rPr>
      </w:pPr>
      <w:r w:rsidRPr="00CC00A3">
        <w:rPr>
          <w:rFonts w:ascii="Candara" w:eastAsia="Times New Roman" w:hAnsi="Candara" w:cs="Calibri"/>
          <w:kern w:val="36"/>
          <w:sz w:val="21"/>
          <w:szCs w:val="21"/>
          <w:lang w:val="en-US"/>
        </w:rPr>
        <w:t>Sitios:</w:t>
      </w:r>
    </w:p>
    <w:p w14:paraId="3714EE84" w14:textId="603B2194" w:rsidR="00146528" w:rsidRPr="00CC00A3" w:rsidRDefault="00ED2AA6" w:rsidP="00ED2AA6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  <w:lang w:val="en-US"/>
        </w:rPr>
      </w:pPr>
      <w:hyperlink r:id="rId25" w:history="1">
        <w:r w:rsidR="00146528" w:rsidRPr="00ED2AA6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  <w:lang w:val="en-US"/>
          </w:rPr>
          <w:t>International Carbon Action Partnership</w:t>
        </w:r>
      </w:hyperlink>
      <w:r w:rsidRPr="00CC00A3">
        <w:rPr>
          <w:rFonts w:ascii="Candara" w:eastAsia="Times New Roman" w:hAnsi="Candara" w:cs="Calibri"/>
          <w:kern w:val="36"/>
          <w:sz w:val="21"/>
          <w:szCs w:val="21"/>
          <w:lang w:val="en-US"/>
        </w:rPr>
        <w:t xml:space="preserve"> </w:t>
      </w:r>
    </w:p>
    <w:p w14:paraId="390F18E1" w14:textId="7DC63C66" w:rsidR="00146528" w:rsidRPr="00CC00A3" w:rsidRDefault="00ED2AA6" w:rsidP="00ED2AA6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  <w:u w:val="single"/>
        </w:rPr>
      </w:pPr>
      <w:hyperlink r:id="rId26" w:history="1">
        <w:proofErr w:type="spellStart"/>
        <w:r w:rsidR="00146528" w:rsidRPr="00ED2AA6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</w:rPr>
          <w:t>Climate</w:t>
        </w:r>
        <w:proofErr w:type="spellEnd"/>
        <w:r w:rsidR="00146528" w:rsidRPr="00ED2AA6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</w:rPr>
          <w:t xml:space="preserve"> Bonds</w:t>
        </w:r>
      </w:hyperlink>
    </w:p>
    <w:p w14:paraId="6E5B99E1" w14:textId="099BA7A3" w:rsidR="000266F1" w:rsidRPr="00CC00A3" w:rsidRDefault="00ED2AA6" w:rsidP="00ED2AA6">
      <w:pPr>
        <w:pStyle w:val="Prrafodelista"/>
        <w:numPr>
          <w:ilvl w:val="0"/>
          <w:numId w:val="1"/>
        </w:numPr>
        <w:shd w:val="clear" w:color="auto" w:fill="FFFFFF"/>
        <w:spacing w:line="360" w:lineRule="auto"/>
      </w:pPr>
      <w:hyperlink r:id="rId27" w:history="1">
        <w:r w:rsidR="008406C3" w:rsidRPr="00ED2AA6">
          <w:rPr>
            <w:rStyle w:val="Hipervnculo"/>
            <w:rFonts w:ascii="Candara" w:hAnsi="Candara" w:cs="Arial"/>
            <w:b/>
            <w:bCs/>
            <w:sz w:val="21"/>
            <w:szCs w:val="21"/>
          </w:rPr>
          <w:t>Principios de Inversión Responsable</w:t>
        </w:r>
      </w:hyperlink>
      <w:r w:rsidRPr="00CC00A3">
        <w:t xml:space="preserve"> </w:t>
      </w:r>
    </w:p>
    <w:sectPr w:rsidR="000266F1" w:rsidRPr="00CC00A3">
      <w:head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96CB" w14:textId="77777777" w:rsidR="00D64CD5" w:rsidRDefault="00D64CD5" w:rsidP="00146528">
      <w:pPr>
        <w:spacing w:after="0" w:line="240" w:lineRule="auto"/>
      </w:pPr>
      <w:r>
        <w:separator/>
      </w:r>
    </w:p>
  </w:endnote>
  <w:endnote w:type="continuationSeparator" w:id="0">
    <w:p w14:paraId="214ECF23" w14:textId="77777777" w:rsidR="00D64CD5" w:rsidRDefault="00D64CD5" w:rsidP="0014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2016" w14:textId="77777777" w:rsidR="00D64CD5" w:rsidRDefault="00D64CD5" w:rsidP="00146528">
      <w:pPr>
        <w:spacing w:after="0" w:line="240" w:lineRule="auto"/>
      </w:pPr>
      <w:r>
        <w:separator/>
      </w:r>
    </w:p>
  </w:footnote>
  <w:footnote w:type="continuationSeparator" w:id="0">
    <w:p w14:paraId="788DAA4C" w14:textId="77777777" w:rsidR="00D64CD5" w:rsidRDefault="00D64CD5" w:rsidP="0014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16BC" w14:textId="687F46C8" w:rsidR="00146528" w:rsidRDefault="0014652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CB55B2" wp14:editId="045D37D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133322" cy="90424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133322" cy="904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0669F"/>
    <w:multiLevelType w:val="hybridMultilevel"/>
    <w:tmpl w:val="73B43B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57821"/>
    <w:multiLevelType w:val="hybridMultilevel"/>
    <w:tmpl w:val="990E30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28"/>
    <w:rsid w:val="000266F1"/>
    <w:rsid w:val="00146528"/>
    <w:rsid w:val="0064441A"/>
    <w:rsid w:val="008406C3"/>
    <w:rsid w:val="00CC00A3"/>
    <w:rsid w:val="00D64CD5"/>
    <w:rsid w:val="00E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E1205"/>
  <w15:chartTrackingRefBased/>
  <w15:docId w15:val="{BAEEBD43-E678-41DC-888B-D1894D94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4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6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1465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6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28"/>
  </w:style>
  <w:style w:type="paragraph" w:styleId="Piedepgina">
    <w:name w:val="footer"/>
    <w:basedOn w:val="Normal"/>
    <w:link w:val="PiedepginaCar"/>
    <w:uiPriority w:val="99"/>
    <w:unhideWhenUsed/>
    <w:rsid w:val="00146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28"/>
  </w:style>
  <w:style w:type="paragraph" w:styleId="Prrafodelista">
    <w:name w:val="List Paragraph"/>
    <w:basedOn w:val="Normal"/>
    <w:uiPriority w:val="34"/>
    <w:qFormat/>
    <w:rsid w:val="00CC00A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C00A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0" w:color="CFCFCF"/>
                <w:right w:val="none" w:sz="0" w:space="0" w:color="auto"/>
              </w:divBdr>
            </w:div>
          </w:divsChild>
        </w:div>
      </w:divsChild>
    </w:div>
    <w:div w:id="32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content/undp/en/home/blog/2019/beyond-profit--how-sdg-impact-helps-the-private-sector.html" TargetMode="External"/><Relationship Id="rId13" Type="http://schemas.openxmlformats.org/officeDocument/2006/relationships/hyperlink" Target="https://www.mckinsey.com/business-functions/strategy-and-corporate-finance/our-insights/five-ways-that-esg-creates-value" TargetMode="External"/><Relationship Id="rId18" Type="http://schemas.openxmlformats.org/officeDocument/2006/relationships/hyperlink" Target="http://mexico2.com.mx/uploadsmexico/file/ARG21.pdf" TargetMode="External"/><Relationship Id="rId26" Type="http://schemas.openxmlformats.org/officeDocument/2006/relationships/hyperlink" Target="https://www.climatebonds.net/system/tdf/reports/cbi_mexicoconstruccion_espanol.pdf?file=1&amp;type=node&amp;id=55036&amp;force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bal-climatescope.org/results/AR" TargetMode="External"/><Relationship Id="rId7" Type="http://schemas.openxmlformats.org/officeDocument/2006/relationships/hyperlink" Target="http://www.fao.org/publications/card/en/c/CA6968EN/" TargetMode="External"/><Relationship Id="rId12" Type="http://schemas.openxmlformats.org/officeDocument/2006/relationships/hyperlink" Target="https://www.climatebonds.net/system/tdf/reports/cbi_mexicoconstruccion_espanol.pdf?file=1&amp;type=node&amp;id=55036&amp;force=0" TargetMode="External"/><Relationship Id="rId17" Type="http://schemas.openxmlformats.org/officeDocument/2006/relationships/hyperlink" Target="https://www.cepal.org/es/publicaciones/35901-la-economia-cambio-climatico-la-argentina-primera-aproximacion" TargetMode="External"/><Relationship Id="rId25" Type="http://schemas.openxmlformats.org/officeDocument/2006/relationships/hyperlink" Target="https://icapcarbonaction.com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pri.org/download?ac=10236" TargetMode="External"/><Relationship Id="rId20" Type="http://schemas.openxmlformats.org/officeDocument/2006/relationships/hyperlink" Target="https://www.bis.org/publ/othp31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imatebonds.net/files/reports/cbi_lac_sotm_19_web_02.pdf" TargetMode="External"/><Relationship Id="rId24" Type="http://schemas.openxmlformats.org/officeDocument/2006/relationships/hyperlink" Target="https://sdgs.un.org/2030agen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pri.org/fixed-income/a-practical-guide-to-esg-integration-in-sovereign-debt/4781.article" TargetMode="External"/><Relationship Id="rId23" Type="http://schemas.openxmlformats.org/officeDocument/2006/relationships/hyperlink" Target="https://www.sc.com/en/feature/the-evolution-of-sustainable-financ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limatebonds.net/files/reports/h1_2020_highlights_final.pdf" TargetMode="External"/><Relationship Id="rId19" Type="http://schemas.openxmlformats.org/officeDocument/2006/relationships/hyperlink" Target="https://www.unepfi.org/wordpress/wp-content/uploads/2019/10/1.-Gu%C3%ADa-R%C3%A1pid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pri.org/download?ac=7098" TargetMode="External"/><Relationship Id="rId14" Type="http://schemas.openxmlformats.org/officeDocument/2006/relationships/hyperlink" Target="a.%09https:/www.byma.com.ar/wp-content/uploads/dlm_uploads/2019/08/BYMA-BonosSVS-Guia.pdf" TargetMode="External"/><Relationship Id="rId22" Type="http://schemas.openxmlformats.org/officeDocument/2006/relationships/hyperlink" Target="https://www.icmagroup.org/sustainable-finance/the-principles-guidelines-and-handbooks/green-bond-principles-gbp/" TargetMode="External"/><Relationship Id="rId27" Type="http://schemas.openxmlformats.org/officeDocument/2006/relationships/hyperlink" Target="https://www.unpri.org/download?ac=10236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 Garcia Camara</dc:creator>
  <cp:keywords/>
  <dc:description/>
  <cp:lastModifiedBy>Malena Garcia Camara</cp:lastModifiedBy>
  <cp:revision>2</cp:revision>
  <dcterms:created xsi:type="dcterms:W3CDTF">2021-04-14T20:02:00Z</dcterms:created>
  <dcterms:modified xsi:type="dcterms:W3CDTF">2021-04-19T15:29:00Z</dcterms:modified>
</cp:coreProperties>
</file>